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892.7999999999997" w:line="276" w:lineRule="auto"/>
        <w:ind w:left="1608" w:right="1598.4000000000003"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Sprawozdanie finansowe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576" w:right="571.2000000000012"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FUNDACJI FABRYKA KULTURALNA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3187.2000000000003" w:right="3177.6000000000013"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za rok 2017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75.2000000000001" w:line="276" w:lineRule="auto"/>
        <w:ind w:left="4060.8" w:right="4051.2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Spis treści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19.199999999999875" w:right="4665.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Wprowadzenie do sprawozdania finansowego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9.199999999999875" w:right="2673.600000000001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Protokół z inwentaryzacji kasy na koniec 2017 roku – załącznik nr 1.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3144.0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Rachunek zysków i strat na dzień 31.12.2017. – załącznik nr 2.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9.199999999999875" w:right="477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Bilans na dzień 31.12.2017. – załącznik nr 3.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556.800000000000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Rozliczenie finansowo – rzeczowe z działalności Fundacji Fabryka Kulturalna w 2017 roku – załącznik nr 4.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99.2000000000003" w:right="2342.400000000001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Wprowadzenie do sprawozdania finansowego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5654.4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Podstawowe informacje o organizacji.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40.8000000000001" w:right="62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Nazwa i adres Fundacji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00.8000000000002" w:right="758.4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Fundacja Fabryka Kulturalna. Siedziba Fundacji – Korzeniec 41-300, ul. Korzeniec 13A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40.8000000000001" w:right="4742.400000000001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Wpis do Krajowego Rejestru Sądowego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00.8000000000002" w:right="-14.3999999999982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dniu 31 marca 2017 roku fundacja została wpisana do Krajowego Rejestru Sądowego. Numer KRS 0000671541, rejestracja w KRS 31.03.2017, REGON 366932562 NIP 6292479359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40.8000000000001" w:right="3345.600000000000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Organami Fundacji są: Rada Fundacji i Zarząd Fundacji.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00.8000000000002" w:right="6168.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skład fundacji należą: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00.8000000000002" w:right="4920.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Prezes Zarządu – Małycha Aleksandra,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00.8000000000002" w:right="2356.800000000000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Rada Fundacji - Małycha Aleksandra, Siodłak Piotr, Bożek Grzegorz,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00.8000000000002" w:right="5083.2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Przewodniczący Rady – Siodłak Piotr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40.8000000000001" w:right="4396.8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Czas na jaki została utworzona organizacja: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00.8000000000002" w:right="3470.4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Czas trwania działalności jednostki jest nieograniczony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40.8000000000001" w:right="4286.400000000001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Nadzór nad działalnością Fundacji sprawuje: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00.8000000000002" w:right="4339.2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Minister Kultury i Dziedzictwa Narodowego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40.8000000000001" w:right="8510.4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00.8000000000002" w:right="-14.3999999999982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Fundacja nie zatrudnia pracowników etatowych, zadania statutowe i administracyjne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00.8000000000002" w:right="-9.6000000000003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realizowane są społecznie. Zadania związane z rozliczeniami finansowymi wykonywane są na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00.8000000000002" w:right="-19.1999999999984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podstawie zlecenia z Biurem Rachunkowym. W 2017 roku Fundacja Fabryka Kulturalna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00.8000000000002" w:right="499.20000000000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podpisywała umowy zlecenia na realizację poszczególnych zadań z zadania publicznego.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40.8000000000001" w:right="3163.200000000000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Określenie celów i zasad statutowych działania Fundacji: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00.8000000000002" w:right="196.800000000000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Fundacja jest instytucją non profit, działająca na rzecz pożytku publicznego, która nie działa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00.8000000000002" w:right="642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dla osiągnięcia zysku.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40.8000000000001" w:right="2313.600000000001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Celem fundacji jest działalność na rzecz dobra pożytku w zakresie: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8000000000001" w:right="1492.80000000000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Wspieranie wszelkiej działalności na rzecz rozwoju i promocji kultury i sztuki;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340.8000000000001" w:right="3652.8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Poszerzanie wiedzy o sztuce i kulturze współczesnej;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715.2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Podtrzymywania i upowszechniania tradycji narodowej, pielęgnowania polskości oraz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00.8000000000002" w:right="288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rozwoju świadomości narodowej, obywatelskiej i kulturowej;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40.8000000000001" w:right="2534.4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Inicjowania i upowszechniania edukacji artystycznej i kulturalnej;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340.8000000000001" w:right="2640.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Kultury, sztuki, ochrony dóbr kultury i dziedzictwa narodowego;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340.8000000000001" w:right="2817.60000000000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Nauki, szkolnictwa wyższego, edukacji, oświaty i wychowania;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340.8000000000001" w:right="138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Integracja różnorodnych środowisk i lokalnych, regionalnych, ogólnopolskich i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00.8000000000002" w:right="619.20000000000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międzynarodowych na rzecz wzajemnego wsparcia, wymiany doświadczeń i twórczych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00.8000000000002" w:right="273.60000000000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prezentacji, w szczególności na terytorium Rzeczpospolitej Polskiej i w obrębie krajów Unii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00.8000000000002" w:right="3283.20000000000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Europejskiej oraz europejskiego obszaru gospodarczego;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40.8000000000001" w:right="588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Działalności charytatywnej;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40.8000000000001" w:right="3364.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Fundacja realizuje swoje cele w szczególności poprzez: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8000000000001" w:right="-19.1999999999984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organizowanie, finansowanie stypendiów, szkoleń, seminariów, konferencji, spotkać, publikacji, impres kulturalnych, wydarzeń artystycznych, festiwali, działań promocyjnych i informacyjnych, wydawnictw, wystaw, wernisaży, wykładów, koncertów, spektakli, warsztatów, konkursów;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8000000000001" w:right="-19.1999999999984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organizowanie oraz udział w targach, wystawach, festiwalach i innych wydarzeniach kulturalnych, oświatowych i naukowych promujących polskość, polską kulturę, sztukę, tradycję, dziedzictwo narodowe oraz pozytywny wizerunek Polski w kraju i zagranicą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40.8000000000001" w:right="384.00000000000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fundowanie nagród, dotacji i funduszów celowych, dzieł, prac naukowych, wydawniczych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8000000000001" w:right="-19.1999999999984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współpracę z wszelkimi instytucjami, podmiotami, których cele działania są zbieżne z celami Fundacji; współpraca może mieć w szczególności charakter wsparcia organizacyjnego, częściowego lub pełnego finansowania przedsięwzięcia, a także pomocy w uzyskaniu niezbędnych funduszy z innych źródeł;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8000000000001" w:right="5150.4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organizowanie zbiórek publicznych;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8000000000001" w:right="2472.0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prowadzenie akcji szkoleniowych, edukacyjnych i informacyjnych;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8000000000001" w:right="5558.400000000001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szeroko rozumiane doradztwo;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40.8000000000001" w:right="5745.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Majątek i dochody Fundacji: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8000000000001" w:right="-19.1999999999984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majątek Fundacji stanowi jej fundusz założycielski w kwocie 500 (pięćset złotych) raz inne mienie nabyte przez Fundację w toku działania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40.8000000000001" w:right="-14.3999999999982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całość dochodów uzyskiwanych przez Fundację jest przeznaczony wyłącznie na działalność statutową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2188.8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Fundacja odpowiada za swoje zobowiązania całym swoim majątkiem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40.8000000000001" w:right="-23.9999999999986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Sprawozdanie obejmuje okres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rok obrotowy 2017, tj. 31.03.2017. do 31.12.2017. Roczne sprawozdanie sporządzono przy założeniu kontynuowania działalności przez fundację, co najmniej 12 miesięcy i dłużej. Nie są nam znane okoliczności, które wskazywałyby na istnienie poważnych zagrożeń dla kontynuowania przez fundację działalności.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40.8000000000001" w:right="-33.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Zasady polityki finansowej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były zgodne z dokumentem: Polityką rachunkowości i Planem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700.8000000000002" w:right="6926.400000000001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 zakładały: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00.8000000000002" w:right="-28.7999999999988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Środki trwałe i wartości niematerialne i prawne wycenia się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zależności od sposobu ich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1060.8000000000002" w:right="2568.0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nabycia (wytworzenia) i późniejszego wykorzystania według: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060.8000000000002" w:right="5971.2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 nabycia (zakupu)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060.8000000000002" w:right="5913.6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kosztów wytworzenia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060.8000000000002" w:right="-14.3999999999982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wartości przeszacowanej(po aktualizacji wyceny środków trwałych) pomniejszonych o odpisy umorzeniowe (amortyzacyjne) oraz o ewentualne odpisy z tytułu trwałej utraty ich wartości.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9.1999999999984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„Umorzenie (amortyzacja)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środków trwałych dokonywane są na zasadzie planowanego systematycznie rozłożenia ich wartości początkowej na ustalony okres amortyzacji. Rozpoczęcie umorzeń powinno nastąpić nie wcześniej niż po przyjęciu środka trwałego do użytkowania, a ich zakończenie nie później niż z chwilą zrównania wartości umorzeń z wartością początkową środka trwałego lub przeznaczenia go do sprzedaży, likwidacji bądź stwierdzenia niedoboru. Na dzień przyjęcia środka trwałego do użytkowania ustala się metodę i stawkę odpisów umorzeniowych (amortyzacyjnych) zgodnie z Ustawą o PDOP. Ustalona metoda i stawka umorzeniowa (amortyzacyjna) musi być zgodna z wykazem rocznych stawek amortyzacyjnych (ustawa o podatku dochodowym od osób prawnych z 15.02.1992 z późniejszymi zmianami). Dla środków trwałych o niskiej jednostkowej wartości początkowej do 3500,00 zł ustala się odpis amortyzacyjny (umorzeniowy) jednorazowo odpisując wartość tego rodzaju środków trwałych.”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28.79999999999881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Cena nabycia składnika aktywów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(trwałych i obrotowych) jest ceną zakupu obejmującą kwotę brutto należną sprzedającemu, powiększoną o koszty związane z zakupem i przystosowaniem składnika aktywów do stanu zdatnego do użytkowania wraz z kosztami transportu, załadunku, wyładunku, koszty instalacji pomniejszone o rabaty, upusty i inne drobne zmniejszenia i odzyski. W przypadku braku możliwości ustalenia ceny nabycia składnika aktywów przyjętego w szczególności nieodpłatnie (także w formie darowizny) jego cenę ustala się według cen sprzedaży takiego samego lub podobnego aktywu.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9.1999999999984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Koszt wytworzenia środków trwałych, środków trwałych w budowie oraz wartości niematerialnych i prawnych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zawiera ogół poniesionych kosztów za okres budowy, montażu, przystosowania i ulepszenia do dnia bilansowego lub do dnia przyjęcia danego składnika aktywów trwałych do użytkowania, w tym także: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9.1999999999984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koszty obsługi zaciągniętych zobowiązań w celu sfinansowania aktywów trwałych i ujemne różnice kursowe, pomniejszone o przychody uzyskane z tych tytułów.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28.79999999999881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Trwała utrata wartości następuje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sytuacji dużego prawdopodobieństwa, że posiadany składnik aktywów nie przyniesie w znacznej części w przyszłości, lub nie przyniesie w ogóle korzyści ekonomicznych. Jest to uzasadnieniem do dokonania odpisy aktualizującego – doprowadzającego wartość składnika wynikającą z ksiąg rachunkowych do oceny wartości godziwej.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9.199999999999875" w:right="-14.3999999999982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Wartość godziwa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stanowi kwotę za jaką dany składnik aktywów mógłby zostać wymieniony, a zobowiązanie uregulowane na warunkach transakcji rynkowej, pomiędzy zainteresowanymi, poinformowanymi i niepowiązanymi stronami.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23.9999999999986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Wartość początkową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środków trwałych stanowiącą cenę nabycia lub koszt wytworzenia środka trwałego powiększają koszty jego ulepszenia, modernizacji, rozbudowy, przebudowy, rekonstrukcji – powodujące po zakończeniu ulepszenia, przewyższenie wartości użytkowej danego środka trwałego w stosunku do wartości posiadanej przy przyjęciu do użytkowania, mierzonej okresem użytkowania. Wartość początkową środka trwałego zmniejszają dokonane odpisy umorzeniowe.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23.9999999999986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Wartości niematerialne i prawne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wycenia się dokonując umorzeń (amortyzacji) w podobny sposób jak środki trwałe. Wartość należności podlega aktualizacji z uwzględnieniem stopnia prawdopodobieństwa ich zapłaty na zasadzie dokonania odpisów aktualizujących ich wartość w następujących przypadkach: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4.3999999999982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posiadania należności od dłużników postawionych w stan likwidacji lub upadłości – do wysokości nie objętych gwarancją lub innym zabezpieczeniem – zgłoszonymi likwidatorowi lub sędziemu w postępowaniu upadłościowym.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9.1999999999984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posiadania należności od dłużników, co do których oddalony został wniosek o ogłoszenie upadłości nie wystarcza na zaspokojenie kosztów postępowania upadłościowego w pełnej wysokości.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4.3999999999982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dysponowania należnościami kwestionowanymi przez dłużników lub gdy dłużnicy zalegają z ich zapłatą, natomiast ocena sytuacji majątkowej i finansowej danego dłużnika wskazuje, że ściągnięcie należności w kwocie umownej nie jest możliwe.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4.3999999999982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posiadania należności przeterminowanych lub nie przeterminowanych o znacznym stopniu prawdopodobieństwa ich nieściągalności, w przypadkach uzasadnionych rodzajem prowadzonej działalności, w wysokości wiarygodnie oszacowanych kwot odpisów na nieściągalne należności.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23.9999999999986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Odpisy aktualizujące wartość należności zalicza się odpowiednio do pozostałych kosztów operacyjnych lub kosztów finansowych w zależności od rodzaju należności, której dotyczy aktualizacja. Należności umorzone, przedawnione lub nieściągalne zmniejszają uprzednio dokonane odpisy aktualizujące ich wartość, natomiast w przypadku, gdy nie wystąpiła uprzednia aktualizacja, to zalicza się je odpowiednio do kosztów operacyjnych lub kosztów finansowych.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23.9999999999986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Środki pieniężne w walutach obcych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wycenia się nie rzadziej niż na dzień bilansowy po kursie kupna stosowanych w tym dniu przez bank, z którego usług Stowarzyszenie korzysta, nie wyższym od średniego kursu ustalonego przez NBP na ten dzień. Różnice kursowe dotyczące środków pieniężnych w walutach obcych i operacji sprzedaży tych walut zalicza się odpowiednio do kosztów lub przychodów finansowych. W uzasadnionych przypadkach różnice kursowe zalicza się do kosztów wytworzenia środków trwałych lub ustalenia wartości początkowej wartości niematerialnych i prawnych.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9.1999999999984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Rezerwy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wycenia się nie rzadziej niż na dzień bilansowy. Dotyczy to rezerw tworzonych na pewne lub w dużym stopniu prawdopodobne zobowiązania, których kwoty można w sposób wiarygodny oszacować. Rezerwy rozwiązuje się, bądź zmniejsza, w momencie powstania zobowiązania, na które dana rezerwa została utworzona. Rezerwy nie wykorzystane na dzień ustalenia lub zmniejszenia się ryzyka, na które je utworzono zaliczane są do pozostałych przychodów operacyjnych, przychodów finansowych lub zysków nadzwyczajnych.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9.1999999999984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Rozliczenia międzyokresowe kosztów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oraz pozostałych rozliczeń, a także odnoszenia ich skutków finansowych Stowarzyszenie dokonuje w następujący sposób: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19.199999999999875" w:right="-19.1999999999984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czynnych rozliczeń międzyokresowych kosztów, jeżeli dotyczą one przyszłych okresów sprawozdawczych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9.1999999999984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biernych rozliczeń międzyokresowych kosztów w wysokości prawdopodobnych zobowiązań przypadających na bieżący okres sprawozdawczy wynikających w szczególności: - ze świadczeń wykonanych na rzecz Stowarzyszenia przez dostawców (wykonawców), których kwotę zobowiązań można oszacować w wiarygodny sposób.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9.1999999999984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Odpisy czynnych i biernych rozliczeń międzyokresowych kosztów, w koszty danego okresu sprawozdawczego Stowarzyszenia powinny być dokonywane stosownie do upływu czasu lub wielkości świadczeń podlegających rozliczeniu w czasie. Zobowiązania ujęte jako bierne rozliczenia międzyokresowe kosztów zmniejszają koszty okresu sprawozdawczego, w którym stwierdzono, że zobowiązania te nie powstały.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23.99999999999863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Rozliczenia międzyokresowe przychodów dokonywane z zachowaniem zasady ostrożności oraz odnoszenia ich skutków finansowych obejmują w szczególności: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9.19999999999845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równowartość otrzymanych od odbiorców lub należnych środków (głównie finansowanych z tytułu świadczeń, których wykonanie nastąpi w przyszłych okresach sprawozdawczych).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9.199999999999875" w:right="-19.19999999999845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Otrzymane środki pieniężne na sfinansowanie nabycia lub wytworzenia środków trwałych, w tym środków trwałych w budowie oraz prac rozwojowych, jeżeli stosownie do przepisów nie zwiększają one funduszu, zaliczone do rozliczeń międzyokresowych przychodów kwoty zwiększają równolegle odpisy amortyzacyjno-umorzeniowe pozostałe przychody operacyjne, do środków trwałych i koszt prac rozwojowych sfinansowanych z tych źródeł zasady te stosowane są odpowiednio w odniesieniu do przyjętych nieodpłatnie (także w formie darowizny) środków trwałych w budowie oraz wartości niematerialnych i prawnych.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9.199999999999875" w:right="-14.3999999999982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Przyjęte zasady rachunkowości stosuje się w sposób ciągły, dokonując w kolejnych latach obrotowych jednakowego grupowania operacji gospodarczych, jednakowej wyceny aktywów i pasywów, ustala się wynik finansowy i sporządza sprawozdanie finansowe tak, aby za kolejne lata informacje z nich wynikające były porównywalne.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